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489D0949" w:rsidR="005E301D" w:rsidRPr="009C1AF0" w:rsidRDefault="00324460" w:rsidP="009C1AF0">
      <w:pPr>
        <w:jc w:val="center"/>
        <w:rPr>
          <w:rFonts w:ascii="Cambria" w:hAnsi="Cambria"/>
          <w:b/>
          <w:bCs/>
          <w:color w:val="0070C0"/>
          <w:sz w:val="28"/>
          <w:szCs w:val="28"/>
        </w:rPr>
      </w:pPr>
      <w:r w:rsidRPr="00324460">
        <w:rPr>
          <w:rFonts w:ascii="Cambria" w:hAnsi="Cambria"/>
          <w:b/>
          <w:bCs/>
          <w:color w:val="0070C0"/>
          <w:sz w:val="28"/>
          <w:szCs w:val="28"/>
        </w:rPr>
        <w:t>Certificate in Risk in Financial Services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6FE7C4DC" w14:textId="51A35CF5" w:rsidR="00AC0EFA" w:rsidRPr="00113001" w:rsidRDefault="00AC0EFA"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Treatment of debt mutual funds/ETFs</w:t>
      </w:r>
    </w:p>
    <w:p w14:paraId="4CE17D81" w14:textId="77777777" w:rsidR="00D52BE8" w:rsidRPr="00113001" w:rsidRDefault="00D52BE8" w:rsidP="004F2E3C">
      <w:pPr>
        <w:spacing w:after="0" w:line="240" w:lineRule="auto"/>
        <w:jc w:val="both"/>
        <w:rPr>
          <w:rFonts w:ascii="Cambria" w:hAnsi="Cambria"/>
          <w:sz w:val="24"/>
          <w:szCs w:val="24"/>
        </w:rPr>
      </w:pPr>
    </w:p>
    <w:p w14:paraId="7F8CD89C" w14:textId="620DF79F"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RBI/2020-21/18 </w:t>
      </w:r>
      <w:proofErr w:type="spellStart"/>
      <w:r w:rsidRPr="00113001">
        <w:rPr>
          <w:rFonts w:ascii="Cambria" w:hAnsi="Cambria"/>
          <w:sz w:val="24"/>
          <w:szCs w:val="24"/>
        </w:rPr>
        <w:t>DOR.No.BP.BC</w:t>
      </w:r>
      <w:proofErr w:type="spellEnd"/>
      <w:r w:rsidRPr="00113001">
        <w:rPr>
          <w:rFonts w:ascii="Cambria" w:hAnsi="Cambria"/>
          <w:sz w:val="24"/>
          <w:szCs w:val="24"/>
        </w:rPr>
        <w:t>/5/21.04.201/2020-21</w:t>
      </w:r>
    </w:p>
    <w:p w14:paraId="28146B4B"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August 6, 2020</w:t>
      </w:r>
    </w:p>
    <w:p w14:paraId="3264D50B" w14:textId="77777777" w:rsidR="00AC0EFA" w:rsidRPr="00113001" w:rsidRDefault="00AC0EFA" w:rsidP="004F2E3C">
      <w:pPr>
        <w:spacing w:after="0" w:line="240" w:lineRule="auto"/>
        <w:jc w:val="both"/>
        <w:rPr>
          <w:rFonts w:ascii="Cambria" w:hAnsi="Cambria"/>
          <w:sz w:val="24"/>
          <w:szCs w:val="24"/>
        </w:rPr>
      </w:pPr>
    </w:p>
    <w:p w14:paraId="6013109C" w14:textId="6ED9E5DD"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Local Area Banks and Regional Rural Banks)</w:t>
      </w:r>
    </w:p>
    <w:p w14:paraId="034E69D2" w14:textId="77777777" w:rsidR="00AC0EFA" w:rsidRPr="00113001" w:rsidRDefault="00AC0EFA" w:rsidP="004F2E3C">
      <w:pPr>
        <w:spacing w:after="0" w:line="240" w:lineRule="auto"/>
        <w:jc w:val="both"/>
        <w:rPr>
          <w:rFonts w:ascii="Cambria" w:hAnsi="Cambria"/>
          <w:sz w:val="24"/>
          <w:szCs w:val="24"/>
        </w:rPr>
      </w:pPr>
    </w:p>
    <w:p w14:paraId="723E55C8"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on Basel III capital regulations.</w:t>
      </w:r>
    </w:p>
    <w:p w14:paraId="5C6DD836" w14:textId="77777777" w:rsidR="00AC0EFA" w:rsidRPr="00113001" w:rsidRDefault="00AC0EFA" w:rsidP="004F2E3C">
      <w:pPr>
        <w:spacing w:after="0" w:line="240" w:lineRule="auto"/>
        <w:jc w:val="both"/>
        <w:rPr>
          <w:rFonts w:ascii="Cambria" w:hAnsi="Cambria"/>
          <w:sz w:val="24"/>
          <w:szCs w:val="24"/>
        </w:rPr>
      </w:pPr>
    </w:p>
    <w:p w14:paraId="7D0C7870"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2. In terms of para 8.4.1 of the circular, capital charge for equities is applicable to units of mutual funds. It has now been decided that the banks investing in debt mutual fund/exchange traded fund (ETF) with underlying comprising of (</w:t>
      </w:r>
      <w:proofErr w:type="spellStart"/>
      <w:r w:rsidRPr="00113001">
        <w:rPr>
          <w:rFonts w:ascii="Cambria" w:hAnsi="Cambria"/>
          <w:sz w:val="24"/>
          <w:szCs w:val="24"/>
        </w:rPr>
        <w:t>i</w:t>
      </w:r>
      <w:proofErr w:type="spellEnd"/>
      <w:r w:rsidRPr="00113001">
        <w:rPr>
          <w:rFonts w:ascii="Cambria" w:hAnsi="Cambria"/>
          <w:sz w:val="24"/>
          <w:szCs w:val="24"/>
        </w:rPr>
        <w:t>) Central, State and Foreign Central Governments’ bonds (ii) Bank’s Bonds and (iii) Corporate Bonds (other than Bank Bonds) shall compute capital charge for market risk as under:</w:t>
      </w:r>
    </w:p>
    <w:p w14:paraId="6275654F" w14:textId="77777777" w:rsidR="00AC0EFA" w:rsidRPr="00113001" w:rsidRDefault="00AC0EFA" w:rsidP="004F2E3C">
      <w:pPr>
        <w:spacing w:after="0" w:line="240" w:lineRule="auto"/>
        <w:jc w:val="both"/>
        <w:rPr>
          <w:rFonts w:ascii="Cambria" w:hAnsi="Cambria"/>
          <w:sz w:val="24"/>
          <w:szCs w:val="24"/>
        </w:rPr>
      </w:pPr>
    </w:p>
    <w:p w14:paraId="4CBC7505"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 Investment in debt mutual fund/ETF for which full constituent debt details are available shall attract general market risk charge of 9 per cent, as hitherto. Specific risk capital charge for various kinds of exposures would be applied as detailed below:</w:t>
      </w:r>
    </w:p>
    <w:p w14:paraId="74E21B2D" w14:textId="77777777" w:rsidR="00AC0EFA" w:rsidRPr="00113001" w:rsidRDefault="00AC0EFA" w:rsidP="004F2E3C">
      <w:pPr>
        <w:spacing w:after="0" w:line="240" w:lineRule="auto"/>
        <w:jc w:val="both"/>
        <w:rPr>
          <w:rFonts w:ascii="Cambria" w:hAnsi="Cambria"/>
          <w:sz w:val="24"/>
          <w:szCs w:val="24"/>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392"/>
        <w:gridCol w:w="2239"/>
      </w:tblGrid>
      <w:tr w:rsidR="00AC0EFA" w:rsidRPr="00113001" w14:paraId="14E441F9" w14:textId="77777777" w:rsidTr="00D52BE8">
        <w:trPr>
          <w:trHeight w:val="715"/>
          <w:jc w:val="center"/>
        </w:trPr>
        <w:tc>
          <w:tcPr>
            <w:tcW w:w="399" w:type="pct"/>
            <w:tcMar>
              <w:top w:w="0" w:type="dxa"/>
              <w:left w:w="45" w:type="dxa"/>
              <w:bottom w:w="0" w:type="dxa"/>
              <w:right w:w="45" w:type="dxa"/>
            </w:tcMar>
            <w:vAlign w:val="center"/>
            <w:hideMark/>
          </w:tcPr>
          <w:p w14:paraId="525C9A96"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Sr. No.</w:t>
            </w:r>
          </w:p>
        </w:tc>
        <w:tc>
          <w:tcPr>
            <w:tcW w:w="3251" w:type="pct"/>
            <w:tcMar>
              <w:top w:w="0" w:type="dxa"/>
              <w:left w:w="45" w:type="dxa"/>
              <w:bottom w:w="0" w:type="dxa"/>
              <w:right w:w="45" w:type="dxa"/>
            </w:tcMar>
            <w:vAlign w:val="center"/>
            <w:hideMark/>
          </w:tcPr>
          <w:p w14:paraId="45A342A9"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Nature of debt securities/issuer</w:t>
            </w:r>
          </w:p>
        </w:tc>
        <w:tc>
          <w:tcPr>
            <w:tcW w:w="1350" w:type="pct"/>
            <w:tcMar>
              <w:top w:w="0" w:type="dxa"/>
              <w:left w:w="45" w:type="dxa"/>
              <w:bottom w:w="0" w:type="dxa"/>
              <w:right w:w="45" w:type="dxa"/>
            </w:tcMar>
            <w:vAlign w:val="center"/>
            <w:hideMark/>
          </w:tcPr>
          <w:p w14:paraId="234122E4"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Table to be followed</w:t>
            </w:r>
            <w:r w:rsidRPr="00113001">
              <w:rPr>
                <w:rFonts w:ascii="Cambria" w:eastAsia="Times New Roman" w:hAnsi="Cambria" w:cs="Arial"/>
                <w:b/>
                <w:bCs/>
                <w:color w:val="000000"/>
                <w:sz w:val="24"/>
                <w:szCs w:val="24"/>
                <w:lang w:eastAsia="en-IN"/>
              </w:rPr>
              <w:br/>
              <w:t>(details in </w:t>
            </w:r>
            <w:hyperlink r:id="rId8" w:anchor="A_1" w:history="1">
              <w:r w:rsidRPr="00113001">
                <w:rPr>
                  <w:rFonts w:ascii="Cambria" w:eastAsia="Times New Roman" w:hAnsi="Cambria" w:cs="Arial"/>
                  <w:b/>
                  <w:bCs/>
                  <w:color w:val="0000FF"/>
                  <w:sz w:val="24"/>
                  <w:szCs w:val="24"/>
                  <w:u w:val="single"/>
                  <w:lang w:eastAsia="en-IN"/>
                </w:rPr>
                <w:t>Annex</w:t>
              </w:r>
            </w:hyperlink>
            <w:r w:rsidRPr="00113001">
              <w:rPr>
                <w:rFonts w:ascii="Cambria" w:eastAsia="Times New Roman" w:hAnsi="Cambria" w:cs="Arial"/>
                <w:b/>
                <w:bCs/>
                <w:color w:val="000000"/>
                <w:sz w:val="24"/>
                <w:szCs w:val="24"/>
                <w:lang w:eastAsia="en-IN"/>
              </w:rPr>
              <w:t>)</w:t>
            </w:r>
          </w:p>
        </w:tc>
      </w:tr>
      <w:tr w:rsidR="00AC0EFA" w:rsidRPr="00113001" w14:paraId="591A2EFA" w14:textId="77777777" w:rsidTr="00D52BE8">
        <w:trPr>
          <w:trHeight w:val="362"/>
          <w:jc w:val="center"/>
        </w:trPr>
        <w:tc>
          <w:tcPr>
            <w:tcW w:w="0" w:type="auto"/>
            <w:tcMar>
              <w:top w:w="0" w:type="dxa"/>
              <w:left w:w="45" w:type="dxa"/>
              <w:bottom w:w="0" w:type="dxa"/>
              <w:right w:w="45" w:type="dxa"/>
            </w:tcMar>
            <w:vAlign w:val="center"/>
            <w:hideMark/>
          </w:tcPr>
          <w:p w14:paraId="13C3A954"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5443B40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Central, State and Foreign Central Governments’ bonds</w:t>
            </w:r>
          </w:p>
        </w:tc>
        <w:tc>
          <w:tcPr>
            <w:tcW w:w="0" w:type="auto"/>
            <w:tcMar>
              <w:top w:w="0" w:type="dxa"/>
              <w:left w:w="45" w:type="dxa"/>
              <w:bottom w:w="0" w:type="dxa"/>
              <w:right w:w="45" w:type="dxa"/>
            </w:tcMar>
            <w:vAlign w:val="center"/>
            <w:hideMark/>
          </w:tcPr>
          <w:p w14:paraId="445DAF48"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B</w:t>
            </w:r>
          </w:p>
        </w:tc>
      </w:tr>
      <w:tr w:rsidR="00AC0EFA" w:rsidRPr="00113001" w14:paraId="6D01C965" w14:textId="77777777" w:rsidTr="00D52BE8">
        <w:trPr>
          <w:trHeight w:val="171"/>
          <w:jc w:val="center"/>
        </w:trPr>
        <w:tc>
          <w:tcPr>
            <w:tcW w:w="0" w:type="auto"/>
            <w:tcMar>
              <w:top w:w="0" w:type="dxa"/>
              <w:left w:w="45" w:type="dxa"/>
              <w:bottom w:w="0" w:type="dxa"/>
              <w:right w:w="45" w:type="dxa"/>
            </w:tcMar>
            <w:vAlign w:val="center"/>
            <w:hideMark/>
          </w:tcPr>
          <w:p w14:paraId="5C891425"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11D6BBCA"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Banks’ Bonds</w:t>
            </w:r>
          </w:p>
        </w:tc>
        <w:tc>
          <w:tcPr>
            <w:tcW w:w="0" w:type="auto"/>
            <w:tcMar>
              <w:top w:w="0" w:type="dxa"/>
              <w:left w:w="45" w:type="dxa"/>
              <w:bottom w:w="0" w:type="dxa"/>
              <w:right w:w="45" w:type="dxa"/>
            </w:tcMar>
            <w:vAlign w:val="center"/>
            <w:hideMark/>
          </w:tcPr>
          <w:p w14:paraId="75EF00E2"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D</w:t>
            </w:r>
          </w:p>
        </w:tc>
      </w:tr>
      <w:tr w:rsidR="00AC0EFA" w:rsidRPr="00113001" w14:paraId="550AC030" w14:textId="77777777" w:rsidTr="00D52BE8">
        <w:trPr>
          <w:trHeight w:val="362"/>
          <w:jc w:val="center"/>
        </w:trPr>
        <w:tc>
          <w:tcPr>
            <w:tcW w:w="0" w:type="auto"/>
            <w:tcMar>
              <w:top w:w="0" w:type="dxa"/>
              <w:left w:w="45" w:type="dxa"/>
              <w:bottom w:w="0" w:type="dxa"/>
              <w:right w:w="45" w:type="dxa"/>
            </w:tcMar>
            <w:vAlign w:val="center"/>
            <w:hideMark/>
          </w:tcPr>
          <w:p w14:paraId="78982C16"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00E046B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Corporate Bonds (other than Bank Bonds)</w:t>
            </w:r>
          </w:p>
        </w:tc>
        <w:tc>
          <w:tcPr>
            <w:tcW w:w="0" w:type="auto"/>
            <w:tcMar>
              <w:top w:w="0" w:type="dxa"/>
              <w:left w:w="45" w:type="dxa"/>
              <w:bottom w:w="0" w:type="dxa"/>
              <w:right w:w="45" w:type="dxa"/>
            </w:tcMar>
            <w:vAlign w:val="center"/>
            <w:hideMark/>
          </w:tcPr>
          <w:p w14:paraId="3704FA80"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E(ii)</w:t>
            </w:r>
          </w:p>
        </w:tc>
      </w:tr>
    </w:tbl>
    <w:p w14:paraId="01081EAD" w14:textId="77777777" w:rsidR="00AC0EFA" w:rsidRPr="00113001" w:rsidRDefault="00AC0EFA" w:rsidP="004F2E3C">
      <w:pPr>
        <w:spacing w:after="0" w:line="240" w:lineRule="auto"/>
        <w:jc w:val="both"/>
        <w:rPr>
          <w:rFonts w:ascii="Cambria" w:hAnsi="Cambria"/>
          <w:sz w:val="24"/>
          <w:szCs w:val="24"/>
        </w:rPr>
      </w:pPr>
    </w:p>
    <w:p w14:paraId="690A3B1A" w14:textId="65156672"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b) In case of debt mutual fund/ETF which contains a mix of the above debt instruments, the specific risk capital charge shall be computed based on the lowest rated debt instrument/ instrument attracting the highest specific risk capital charge in the fund.</w:t>
      </w:r>
    </w:p>
    <w:p w14:paraId="488A328E" w14:textId="77777777" w:rsidR="00AC0EFA" w:rsidRPr="00113001" w:rsidRDefault="00AC0EFA" w:rsidP="004F2E3C">
      <w:pPr>
        <w:spacing w:after="0" w:line="240" w:lineRule="auto"/>
        <w:jc w:val="both"/>
        <w:rPr>
          <w:rFonts w:ascii="Cambria" w:hAnsi="Cambria"/>
          <w:sz w:val="24"/>
          <w:szCs w:val="24"/>
        </w:rPr>
      </w:pPr>
    </w:p>
    <w:p w14:paraId="0A7CEC28" w14:textId="0FF95643" w:rsidR="00006EDF"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c) Debt mutual fund/ETF for which constituent debt details are not available, at least as of each month-end, shall continue to be treated on par with equity for computation of capital charge for market risk as prescribed in para 8.4.1 of Master Circular on Basel III Capital Regulations.</w:t>
      </w:r>
    </w:p>
    <w:p w14:paraId="6B6F0D92" w14:textId="1E6893F3" w:rsidR="004F2E3C" w:rsidRPr="00113001" w:rsidRDefault="004F2E3C" w:rsidP="004F2E3C">
      <w:pPr>
        <w:spacing w:after="0" w:line="240" w:lineRule="auto"/>
        <w:jc w:val="both"/>
        <w:rPr>
          <w:rFonts w:ascii="Cambria" w:hAnsi="Cambria"/>
          <w:sz w:val="24"/>
          <w:szCs w:val="24"/>
        </w:rPr>
      </w:pPr>
    </w:p>
    <w:p w14:paraId="0AFF8E9D"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D009923" w14:textId="0AF32452" w:rsidR="004F2E3C" w:rsidRPr="00113001" w:rsidRDefault="00480BFC" w:rsidP="004F2E3C">
      <w:pPr>
        <w:spacing w:after="0" w:line="240" w:lineRule="auto"/>
        <w:jc w:val="both"/>
        <w:rPr>
          <w:rFonts w:ascii="Cambria" w:hAnsi="Cambria"/>
          <w:sz w:val="24"/>
          <w:szCs w:val="24"/>
        </w:rPr>
      </w:pPr>
      <w:hyperlink r:id="rId9" w:history="1">
        <w:r w:rsidR="004F2E3C" w:rsidRPr="00113001">
          <w:rPr>
            <w:rStyle w:val="Hyperlink"/>
            <w:rFonts w:ascii="Cambria" w:hAnsi="Cambria"/>
            <w:sz w:val="24"/>
            <w:szCs w:val="24"/>
          </w:rPr>
          <w:t>https://www.rbi.org.in/Scripts/NotificationUser.aspx?Id=11943&amp;Mode=0</w:t>
        </w:r>
      </w:hyperlink>
      <w:r w:rsidR="004F2E3C" w:rsidRPr="00113001">
        <w:rPr>
          <w:rFonts w:ascii="Cambria" w:hAnsi="Cambria"/>
          <w:sz w:val="24"/>
          <w:szCs w:val="24"/>
        </w:rPr>
        <w:t xml:space="preserve"> </w:t>
      </w:r>
    </w:p>
    <w:p w14:paraId="64A1FD45" w14:textId="6384EC18" w:rsidR="00902F9B" w:rsidRPr="00113001" w:rsidRDefault="00902F9B" w:rsidP="004F2E3C">
      <w:pPr>
        <w:pBdr>
          <w:bottom w:val="single" w:sz="12" w:space="1" w:color="auto"/>
        </w:pBdr>
        <w:spacing w:after="0" w:line="240" w:lineRule="auto"/>
        <w:jc w:val="both"/>
        <w:rPr>
          <w:rFonts w:ascii="Cambria" w:hAnsi="Cambria"/>
          <w:sz w:val="24"/>
          <w:szCs w:val="24"/>
        </w:rPr>
      </w:pPr>
    </w:p>
    <w:p w14:paraId="4437C53D" w14:textId="648C3544" w:rsidR="00B24EBE" w:rsidRPr="00113001" w:rsidRDefault="00B24EBE" w:rsidP="004F2E3C">
      <w:pPr>
        <w:spacing w:after="0" w:line="240" w:lineRule="auto"/>
        <w:jc w:val="both"/>
        <w:rPr>
          <w:rFonts w:ascii="Cambria" w:hAnsi="Cambria"/>
          <w:sz w:val="24"/>
          <w:szCs w:val="24"/>
        </w:rPr>
      </w:pPr>
    </w:p>
    <w:p w14:paraId="0DA88CBF" w14:textId="77777777" w:rsidR="00324460" w:rsidRDefault="00324460" w:rsidP="004F2E3C">
      <w:pPr>
        <w:spacing w:after="0" w:line="240" w:lineRule="auto"/>
        <w:jc w:val="both"/>
        <w:rPr>
          <w:rFonts w:ascii="Cambria" w:hAnsi="Cambria"/>
          <w:b/>
          <w:bCs/>
          <w:sz w:val="24"/>
          <w:szCs w:val="24"/>
        </w:rPr>
      </w:pPr>
    </w:p>
    <w:p w14:paraId="49D4EA2F" w14:textId="7C7773F6"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lastRenderedPageBreak/>
        <w:t>Basel III Capital Regulations - Review of transitional arrangements</w:t>
      </w:r>
    </w:p>
    <w:p w14:paraId="58ACC748" w14:textId="77777777" w:rsidR="00D52BE8" w:rsidRPr="00113001" w:rsidRDefault="00D52BE8" w:rsidP="004F2E3C">
      <w:pPr>
        <w:spacing w:after="0" w:line="240" w:lineRule="auto"/>
        <w:jc w:val="both"/>
        <w:rPr>
          <w:rFonts w:ascii="Cambria" w:hAnsi="Cambria"/>
          <w:sz w:val="24"/>
          <w:szCs w:val="24"/>
        </w:rPr>
      </w:pPr>
    </w:p>
    <w:p w14:paraId="234C5AE6" w14:textId="0198A98A"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RBI/2020-21/42 </w:t>
      </w:r>
      <w:proofErr w:type="spellStart"/>
      <w:r w:rsidRPr="00113001">
        <w:rPr>
          <w:rFonts w:ascii="Cambria" w:hAnsi="Cambria"/>
          <w:sz w:val="24"/>
          <w:szCs w:val="24"/>
        </w:rPr>
        <w:t>DOR.BP.BC.No15</w:t>
      </w:r>
      <w:proofErr w:type="spellEnd"/>
      <w:r w:rsidRPr="00113001">
        <w:rPr>
          <w:rFonts w:ascii="Cambria" w:hAnsi="Cambria"/>
          <w:sz w:val="24"/>
          <w:szCs w:val="24"/>
        </w:rPr>
        <w:t>/21.06.201/2020-21</w:t>
      </w:r>
    </w:p>
    <w:p w14:paraId="39B1CE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53E8395" w14:textId="77777777" w:rsidR="00B24EBE" w:rsidRPr="00113001" w:rsidRDefault="00B24EBE" w:rsidP="004F2E3C">
      <w:pPr>
        <w:spacing w:after="0" w:line="240" w:lineRule="auto"/>
        <w:jc w:val="both"/>
        <w:rPr>
          <w:rFonts w:ascii="Cambria" w:hAnsi="Cambria"/>
          <w:sz w:val="24"/>
          <w:szCs w:val="24"/>
        </w:rPr>
      </w:pPr>
    </w:p>
    <w:p w14:paraId="279A68F9" w14:textId="36B0550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Small Finance Banks, Payment Banks, </w:t>
      </w:r>
      <w:proofErr w:type="spellStart"/>
      <w:r w:rsidRPr="00113001">
        <w:rPr>
          <w:rFonts w:ascii="Cambria" w:hAnsi="Cambria"/>
          <w:sz w:val="24"/>
          <w:szCs w:val="24"/>
        </w:rPr>
        <w:t>RRBs</w:t>
      </w:r>
      <w:proofErr w:type="spellEnd"/>
      <w:r w:rsidRPr="00113001">
        <w:rPr>
          <w:rFonts w:ascii="Cambria" w:hAnsi="Cambria"/>
          <w:sz w:val="24"/>
          <w:szCs w:val="24"/>
        </w:rPr>
        <w:t xml:space="preserve"> and </w:t>
      </w:r>
      <w:proofErr w:type="spellStart"/>
      <w:r w:rsidRPr="00113001">
        <w:rPr>
          <w:rFonts w:ascii="Cambria" w:hAnsi="Cambria"/>
          <w:sz w:val="24"/>
          <w:szCs w:val="24"/>
        </w:rPr>
        <w:t>LABs</w:t>
      </w:r>
      <w:proofErr w:type="spellEnd"/>
      <w:r w:rsidRPr="00113001">
        <w:rPr>
          <w:rFonts w:ascii="Cambria" w:hAnsi="Cambria"/>
          <w:sz w:val="24"/>
          <w:szCs w:val="24"/>
        </w:rPr>
        <w:t>)</w:t>
      </w:r>
    </w:p>
    <w:p w14:paraId="69B9D79F" w14:textId="77777777" w:rsidR="00B24EBE" w:rsidRPr="00113001" w:rsidRDefault="00B24EBE" w:rsidP="004F2E3C">
      <w:pPr>
        <w:spacing w:after="0" w:line="240" w:lineRule="auto"/>
        <w:jc w:val="both"/>
        <w:rPr>
          <w:rFonts w:ascii="Cambria" w:hAnsi="Cambria"/>
          <w:sz w:val="24"/>
          <w:szCs w:val="24"/>
        </w:rPr>
      </w:pPr>
    </w:p>
    <w:p w14:paraId="19E40AA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DOR.BP.BC.No.45</w:t>
      </w:r>
      <w:proofErr w:type="spellEnd"/>
      <w:r w:rsidRPr="00113001">
        <w:rPr>
          <w:rFonts w:ascii="Cambria" w:hAnsi="Cambria"/>
          <w:sz w:val="24"/>
          <w:szCs w:val="24"/>
        </w:rPr>
        <w:t xml:space="preserve">/21.06.201/2019-20 dated March 27, 2020 on ‘Basel III Capital Regulations - Review of transitional </w:t>
      </w:r>
      <w:proofErr w:type="gramStart"/>
      <w:r w:rsidRPr="00113001">
        <w:rPr>
          <w:rFonts w:ascii="Cambria" w:hAnsi="Cambria"/>
          <w:sz w:val="24"/>
          <w:szCs w:val="24"/>
        </w:rPr>
        <w:t>arrangements’</w:t>
      </w:r>
      <w:proofErr w:type="gramEnd"/>
      <w:r w:rsidRPr="00113001">
        <w:rPr>
          <w:rFonts w:ascii="Cambria" w:hAnsi="Cambria"/>
          <w:sz w:val="24"/>
          <w:szCs w:val="24"/>
        </w:rPr>
        <w:t>.</w:t>
      </w:r>
    </w:p>
    <w:p w14:paraId="5C7A3AAE" w14:textId="77777777" w:rsidR="00B24EBE" w:rsidRPr="00113001" w:rsidRDefault="00B24EBE" w:rsidP="004F2E3C">
      <w:pPr>
        <w:spacing w:after="0" w:line="240" w:lineRule="auto"/>
        <w:jc w:val="both"/>
        <w:rPr>
          <w:rFonts w:ascii="Cambria" w:hAnsi="Cambria"/>
          <w:sz w:val="24"/>
          <w:szCs w:val="24"/>
        </w:rPr>
      </w:pPr>
    </w:p>
    <w:p w14:paraId="582A090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view of the continuing stress on account of COVID-19, it has been decided to defer the implementation of the last tranche of 0.625 per cent of the Capital Conservation Buffer (</w:t>
      </w:r>
      <w:proofErr w:type="spellStart"/>
      <w:r w:rsidRPr="00113001">
        <w:rPr>
          <w:rFonts w:ascii="Cambria" w:hAnsi="Cambria"/>
          <w:sz w:val="24"/>
          <w:szCs w:val="24"/>
        </w:rPr>
        <w:t>CCB</w:t>
      </w:r>
      <w:proofErr w:type="spellEnd"/>
      <w:r w:rsidRPr="00113001">
        <w:rPr>
          <w:rFonts w:ascii="Cambria" w:hAnsi="Cambria"/>
          <w:sz w:val="24"/>
          <w:szCs w:val="24"/>
        </w:rPr>
        <w:t xml:space="preserve">) from September 30, 2020 to April 1, 2021. Accordingly, the minimum capital conservation ratios in para 15.2.2 of Part D ‘Capital Conservation Buffer Framework’ of Master Circular, </w:t>
      </w:r>
      <w:proofErr w:type="spellStart"/>
      <w:r w:rsidRPr="00113001">
        <w:rPr>
          <w:rFonts w:ascii="Cambria" w:hAnsi="Cambria"/>
          <w:sz w:val="24"/>
          <w:szCs w:val="24"/>
        </w:rPr>
        <w:t>DBR.No.BP.BC.1</w:t>
      </w:r>
      <w:proofErr w:type="spellEnd"/>
      <w:r w:rsidRPr="00113001">
        <w:rPr>
          <w:rFonts w:ascii="Cambria" w:hAnsi="Cambria"/>
          <w:sz w:val="24"/>
          <w:szCs w:val="24"/>
        </w:rPr>
        <w:t xml:space="preserve">/21.06.201/2015-16 dated July 1, 2015 on ‘Basel III Capital Regulations’, shall continue to apply till the </w:t>
      </w:r>
      <w:proofErr w:type="spellStart"/>
      <w:r w:rsidRPr="00113001">
        <w:rPr>
          <w:rFonts w:ascii="Cambria" w:hAnsi="Cambria"/>
          <w:sz w:val="24"/>
          <w:szCs w:val="24"/>
        </w:rPr>
        <w:t>CCB</w:t>
      </w:r>
      <w:proofErr w:type="spellEnd"/>
      <w:r w:rsidRPr="00113001">
        <w:rPr>
          <w:rFonts w:ascii="Cambria" w:hAnsi="Cambria"/>
          <w:sz w:val="24"/>
          <w:szCs w:val="24"/>
        </w:rPr>
        <w:t xml:space="preserve"> attains the level of 2.5 per cent on April 1, 2021.</w:t>
      </w:r>
    </w:p>
    <w:p w14:paraId="5FA8B631" w14:textId="77777777" w:rsidR="00B24EBE" w:rsidRPr="00113001" w:rsidRDefault="00B24EBE" w:rsidP="004F2E3C">
      <w:pPr>
        <w:spacing w:after="0" w:line="240" w:lineRule="auto"/>
        <w:jc w:val="both"/>
        <w:rPr>
          <w:rFonts w:ascii="Cambria" w:hAnsi="Cambria"/>
          <w:sz w:val="24"/>
          <w:szCs w:val="24"/>
        </w:rPr>
      </w:pPr>
    </w:p>
    <w:p w14:paraId="6DCA9B3B" w14:textId="25BBF33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The pre-specified trigger for loss absorption through conversion / write-down of Additional Tier 1 instruments (Perpetual Non-Convertible Preference Shares and Perpetual Debt Instruments), shall remain at 5.5 per cent of risk weighted assets (</w:t>
      </w:r>
      <w:proofErr w:type="spellStart"/>
      <w:r w:rsidRPr="00113001">
        <w:rPr>
          <w:rFonts w:ascii="Cambria" w:hAnsi="Cambria"/>
          <w:sz w:val="24"/>
          <w:szCs w:val="24"/>
        </w:rPr>
        <w:t>RWAs</w:t>
      </w:r>
      <w:proofErr w:type="spellEnd"/>
      <w:r w:rsidRPr="00113001">
        <w:rPr>
          <w:rFonts w:ascii="Cambria" w:hAnsi="Cambria"/>
          <w:sz w:val="24"/>
          <w:szCs w:val="24"/>
        </w:rPr>
        <w:t xml:space="preserve">) and will rise to 6.125 per cent of </w:t>
      </w:r>
      <w:proofErr w:type="spellStart"/>
      <w:r w:rsidRPr="00113001">
        <w:rPr>
          <w:rFonts w:ascii="Cambria" w:hAnsi="Cambria"/>
          <w:sz w:val="24"/>
          <w:szCs w:val="24"/>
        </w:rPr>
        <w:t>RWAs</w:t>
      </w:r>
      <w:proofErr w:type="spellEnd"/>
      <w:r w:rsidRPr="00113001">
        <w:rPr>
          <w:rFonts w:ascii="Cambria" w:hAnsi="Cambria"/>
          <w:sz w:val="24"/>
          <w:szCs w:val="24"/>
        </w:rPr>
        <w:t xml:space="preserve"> from April 1, 2021.</w:t>
      </w:r>
    </w:p>
    <w:p w14:paraId="366F86B6" w14:textId="6F8FD140" w:rsidR="00B24EBE" w:rsidRPr="00113001" w:rsidRDefault="00B24EBE" w:rsidP="004F2E3C">
      <w:pPr>
        <w:pBdr>
          <w:bottom w:val="single" w:sz="12" w:space="1" w:color="auto"/>
        </w:pBdr>
        <w:spacing w:after="0" w:line="240" w:lineRule="auto"/>
        <w:jc w:val="both"/>
        <w:rPr>
          <w:rFonts w:ascii="Cambria" w:hAnsi="Cambria"/>
          <w:sz w:val="24"/>
          <w:szCs w:val="24"/>
        </w:rPr>
      </w:pPr>
    </w:p>
    <w:p w14:paraId="695DD559" w14:textId="4FCEB2E3" w:rsidR="00B24EBE" w:rsidRPr="00113001" w:rsidRDefault="00B24EBE" w:rsidP="004F2E3C">
      <w:pPr>
        <w:spacing w:after="0" w:line="240" w:lineRule="auto"/>
        <w:jc w:val="both"/>
        <w:rPr>
          <w:rFonts w:ascii="Cambria" w:hAnsi="Cambria"/>
          <w:sz w:val="24"/>
          <w:szCs w:val="24"/>
        </w:rPr>
      </w:pPr>
    </w:p>
    <w:p w14:paraId="68708498" w14:textId="5221DFF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Framework on Liquidity Standards – Net Stable Funding Ratio (</w:t>
      </w:r>
      <w:proofErr w:type="spellStart"/>
      <w:r w:rsidRPr="00113001">
        <w:rPr>
          <w:rFonts w:ascii="Cambria" w:hAnsi="Cambria"/>
          <w:b/>
          <w:bCs/>
          <w:sz w:val="24"/>
          <w:szCs w:val="24"/>
        </w:rPr>
        <w:t>NSFR</w:t>
      </w:r>
      <w:proofErr w:type="spellEnd"/>
      <w:r w:rsidRPr="00113001">
        <w:rPr>
          <w:rFonts w:ascii="Cambria" w:hAnsi="Cambria"/>
          <w:b/>
          <w:bCs/>
          <w:sz w:val="24"/>
          <w:szCs w:val="24"/>
        </w:rPr>
        <w:t>)</w:t>
      </w:r>
    </w:p>
    <w:p w14:paraId="1EFB6DD7" w14:textId="77777777" w:rsidR="00D52BE8" w:rsidRPr="00113001" w:rsidRDefault="00D52BE8" w:rsidP="004F2E3C">
      <w:pPr>
        <w:spacing w:after="0" w:line="240" w:lineRule="auto"/>
        <w:jc w:val="both"/>
        <w:rPr>
          <w:rFonts w:ascii="Cambria" w:hAnsi="Cambria"/>
          <w:sz w:val="24"/>
          <w:szCs w:val="24"/>
        </w:rPr>
      </w:pPr>
    </w:p>
    <w:p w14:paraId="5280A647" w14:textId="7765FF2E"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RBI/2020-21/43 </w:t>
      </w:r>
      <w:proofErr w:type="spellStart"/>
      <w:r w:rsidRPr="00113001">
        <w:rPr>
          <w:rFonts w:ascii="Cambria" w:hAnsi="Cambria"/>
          <w:sz w:val="24"/>
          <w:szCs w:val="24"/>
        </w:rPr>
        <w:t>DOR.BP.BC.No.16</w:t>
      </w:r>
      <w:proofErr w:type="spellEnd"/>
      <w:r w:rsidRPr="00113001">
        <w:rPr>
          <w:rFonts w:ascii="Cambria" w:hAnsi="Cambria"/>
          <w:sz w:val="24"/>
          <w:szCs w:val="24"/>
        </w:rPr>
        <w:t>/21.04.098/2020-21</w:t>
      </w:r>
    </w:p>
    <w:p w14:paraId="0E1611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FAF3B08" w14:textId="77777777" w:rsidR="00B24EBE" w:rsidRPr="00113001" w:rsidRDefault="00B24EBE" w:rsidP="004F2E3C">
      <w:pPr>
        <w:spacing w:after="0" w:line="240" w:lineRule="auto"/>
        <w:jc w:val="both"/>
        <w:rPr>
          <w:rFonts w:ascii="Cambria" w:hAnsi="Cambria"/>
          <w:sz w:val="24"/>
          <w:szCs w:val="24"/>
        </w:rPr>
      </w:pPr>
    </w:p>
    <w:p w14:paraId="2C663B26" w14:textId="45906C4B"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Regional Rural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Payments Banks)</w:t>
      </w:r>
    </w:p>
    <w:p w14:paraId="68F7E570" w14:textId="77777777" w:rsidR="00B24EBE" w:rsidRPr="00113001" w:rsidRDefault="00B24EBE" w:rsidP="004F2E3C">
      <w:pPr>
        <w:spacing w:after="0" w:line="240" w:lineRule="auto"/>
        <w:jc w:val="both"/>
        <w:rPr>
          <w:rFonts w:ascii="Cambria" w:hAnsi="Cambria"/>
          <w:sz w:val="24"/>
          <w:szCs w:val="24"/>
        </w:rPr>
      </w:pPr>
    </w:p>
    <w:p w14:paraId="1A31807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DOR.BP.BC.No.46</w:t>
      </w:r>
      <w:proofErr w:type="spellEnd"/>
      <w:r w:rsidRPr="00113001">
        <w:rPr>
          <w:rFonts w:ascii="Cambria" w:hAnsi="Cambria"/>
          <w:sz w:val="24"/>
          <w:szCs w:val="24"/>
        </w:rPr>
        <w:t>/21.04.098/2019-20 dated March 27, 2020 on Net Stable Funding Ratio (</w:t>
      </w:r>
      <w:proofErr w:type="spellStart"/>
      <w:r w:rsidRPr="00113001">
        <w:rPr>
          <w:rFonts w:ascii="Cambria" w:hAnsi="Cambria"/>
          <w:sz w:val="24"/>
          <w:szCs w:val="24"/>
        </w:rPr>
        <w:t>NSFR</w:t>
      </w:r>
      <w:proofErr w:type="spellEnd"/>
      <w:r w:rsidRPr="00113001">
        <w:rPr>
          <w:rFonts w:ascii="Cambria" w:hAnsi="Cambria"/>
          <w:sz w:val="24"/>
          <w:szCs w:val="24"/>
        </w:rPr>
        <w:t>) guidelines.</w:t>
      </w:r>
    </w:p>
    <w:p w14:paraId="781AB078" w14:textId="77777777" w:rsidR="00B24EBE" w:rsidRPr="00113001" w:rsidRDefault="00B24EBE" w:rsidP="004F2E3C">
      <w:pPr>
        <w:spacing w:after="0" w:line="240" w:lineRule="auto"/>
        <w:jc w:val="both"/>
        <w:rPr>
          <w:rFonts w:ascii="Cambria" w:hAnsi="Cambria"/>
          <w:sz w:val="24"/>
          <w:szCs w:val="24"/>
        </w:rPr>
      </w:pPr>
    </w:p>
    <w:p w14:paraId="47B19C76" w14:textId="509763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uncertainty on account of COVID-19, on a review, it has been decided to defer the implementation of </w:t>
      </w:r>
      <w:proofErr w:type="spellStart"/>
      <w:r w:rsidRPr="00113001">
        <w:rPr>
          <w:rFonts w:ascii="Cambria" w:hAnsi="Cambria"/>
          <w:sz w:val="24"/>
          <w:szCs w:val="24"/>
        </w:rPr>
        <w:t>NSFR</w:t>
      </w:r>
      <w:proofErr w:type="spellEnd"/>
      <w:r w:rsidRPr="00113001">
        <w:rPr>
          <w:rFonts w:ascii="Cambria" w:hAnsi="Cambria"/>
          <w:sz w:val="24"/>
          <w:szCs w:val="24"/>
        </w:rPr>
        <w:t xml:space="preserve"> guidelines by a further period of six months. These guidelines shall now come into effect from April 1, 2021.</w:t>
      </w:r>
    </w:p>
    <w:p w14:paraId="5AC828BA" w14:textId="4BCF5F88" w:rsidR="00B24EBE" w:rsidRPr="00113001" w:rsidRDefault="00B24EBE" w:rsidP="004F2E3C">
      <w:pPr>
        <w:pBdr>
          <w:bottom w:val="single" w:sz="12" w:space="1" w:color="auto"/>
        </w:pBdr>
        <w:spacing w:after="0" w:line="240" w:lineRule="auto"/>
        <w:jc w:val="both"/>
        <w:rPr>
          <w:rFonts w:ascii="Cambria" w:hAnsi="Cambria"/>
          <w:sz w:val="24"/>
          <w:szCs w:val="24"/>
        </w:rPr>
      </w:pPr>
    </w:p>
    <w:p w14:paraId="285DDD8F" w14:textId="34096C60" w:rsidR="00B24EBE" w:rsidRPr="00113001" w:rsidRDefault="00B24EBE" w:rsidP="004F2E3C">
      <w:pPr>
        <w:spacing w:after="0" w:line="240" w:lineRule="auto"/>
        <w:jc w:val="both"/>
        <w:rPr>
          <w:rFonts w:ascii="Cambria" w:hAnsi="Cambria"/>
          <w:sz w:val="24"/>
          <w:szCs w:val="24"/>
        </w:rPr>
      </w:pPr>
    </w:p>
    <w:p w14:paraId="3F45751B" w14:textId="76912841"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 (Amended)</w:t>
      </w:r>
    </w:p>
    <w:p w14:paraId="67BED9E3" w14:textId="77777777" w:rsidR="00D52BE8" w:rsidRPr="00113001" w:rsidRDefault="00D52BE8" w:rsidP="004F2E3C">
      <w:pPr>
        <w:spacing w:after="0" w:line="240" w:lineRule="auto"/>
        <w:jc w:val="both"/>
        <w:rPr>
          <w:rFonts w:ascii="Cambria" w:hAnsi="Cambria"/>
          <w:sz w:val="24"/>
          <w:szCs w:val="24"/>
        </w:rPr>
      </w:pPr>
    </w:p>
    <w:p w14:paraId="309B7236" w14:textId="071265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RBI/2020-21/29 </w:t>
      </w:r>
      <w:proofErr w:type="spellStart"/>
      <w:r w:rsidRPr="00113001">
        <w:rPr>
          <w:rFonts w:ascii="Cambria" w:hAnsi="Cambria"/>
          <w:sz w:val="24"/>
          <w:szCs w:val="24"/>
        </w:rPr>
        <w:t>DoR.No.BP.BC.9</w:t>
      </w:r>
      <w:proofErr w:type="spellEnd"/>
      <w:r w:rsidRPr="00113001">
        <w:rPr>
          <w:rFonts w:ascii="Cambria" w:hAnsi="Cambria"/>
          <w:sz w:val="24"/>
          <w:szCs w:val="24"/>
        </w:rPr>
        <w:t>/21.04.141/2020-21</w:t>
      </w:r>
    </w:p>
    <w:p w14:paraId="097CC042"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September 1, 2020</w:t>
      </w:r>
    </w:p>
    <w:p w14:paraId="11E84732" w14:textId="77777777" w:rsidR="00C72793" w:rsidRPr="00113001" w:rsidRDefault="00C72793" w:rsidP="004F2E3C">
      <w:pPr>
        <w:spacing w:after="0" w:line="240" w:lineRule="auto"/>
        <w:jc w:val="both"/>
        <w:rPr>
          <w:rFonts w:ascii="Cambria" w:hAnsi="Cambria"/>
          <w:sz w:val="24"/>
          <w:szCs w:val="24"/>
        </w:rPr>
      </w:pPr>
    </w:p>
    <w:p w14:paraId="17000A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7AE18AD" w14:textId="77777777" w:rsidR="00C72793" w:rsidRPr="00113001" w:rsidRDefault="00C72793" w:rsidP="004F2E3C">
      <w:pPr>
        <w:spacing w:after="0" w:line="240" w:lineRule="auto"/>
        <w:jc w:val="both"/>
        <w:rPr>
          <w:rFonts w:ascii="Cambria" w:hAnsi="Cambria"/>
          <w:sz w:val="24"/>
          <w:szCs w:val="24"/>
        </w:rPr>
      </w:pPr>
    </w:p>
    <w:p w14:paraId="24454BB4"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circulars </w:t>
      </w:r>
      <w:proofErr w:type="spellStart"/>
      <w:r w:rsidRPr="00113001">
        <w:rPr>
          <w:rFonts w:ascii="Cambria" w:hAnsi="Cambria"/>
          <w:sz w:val="24"/>
          <w:szCs w:val="24"/>
        </w:rPr>
        <w:t>DBR.No.BP.BC.6</w:t>
      </w:r>
      <w:proofErr w:type="spellEnd"/>
      <w:r w:rsidRPr="00113001">
        <w:rPr>
          <w:rFonts w:ascii="Cambria" w:hAnsi="Cambria"/>
          <w:sz w:val="24"/>
          <w:szCs w:val="24"/>
        </w:rPr>
        <w:t xml:space="preserve">/21.04.141/2015-16 dated July 1, 2015 read with </w:t>
      </w:r>
      <w:proofErr w:type="spellStart"/>
      <w:r w:rsidRPr="00113001">
        <w:rPr>
          <w:rFonts w:ascii="Cambria" w:hAnsi="Cambria"/>
          <w:sz w:val="24"/>
          <w:szCs w:val="24"/>
        </w:rPr>
        <w:t>DBR.No.BP.BC.65</w:t>
      </w:r>
      <w:proofErr w:type="spellEnd"/>
      <w:r w:rsidRPr="00113001">
        <w:rPr>
          <w:rFonts w:ascii="Cambria" w:hAnsi="Cambria"/>
          <w:sz w:val="24"/>
          <w:szCs w:val="24"/>
        </w:rPr>
        <w:t xml:space="preserve">/21.04.141/2015-16 dated December 10, 2015 and </w:t>
      </w:r>
      <w:proofErr w:type="spellStart"/>
      <w:r w:rsidRPr="00113001">
        <w:rPr>
          <w:rFonts w:ascii="Cambria" w:hAnsi="Cambria"/>
          <w:sz w:val="24"/>
          <w:szCs w:val="24"/>
        </w:rPr>
        <w:t>DBR.No.Ret.BC.90</w:t>
      </w:r>
      <w:proofErr w:type="spellEnd"/>
      <w:r w:rsidRPr="00113001">
        <w:rPr>
          <w:rFonts w:ascii="Cambria" w:hAnsi="Cambria"/>
          <w:sz w:val="24"/>
          <w:szCs w:val="24"/>
        </w:rPr>
        <w:t>/12.02.001/2017-18 dated October 4, 2017 on the subject.</w:t>
      </w:r>
    </w:p>
    <w:p w14:paraId="117601D3" w14:textId="77777777" w:rsidR="00C72793" w:rsidRPr="00113001" w:rsidRDefault="00C72793" w:rsidP="004F2E3C">
      <w:pPr>
        <w:spacing w:after="0" w:line="240" w:lineRule="auto"/>
        <w:jc w:val="both"/>
        <w:rPr>
          <w:rFonts w:ascii="Cambria" w:hAnsi="Cambria"/>
          <w:sz w:val="24"/>
          <w:szCs w:val="24"/>
        </w:rPr>
      </w:pPr>
    </w:p>
    <w:p w14:paraId="26324028" w14:textId="07A9FE9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Currently,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On a review, it has been decided to allow banks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up to March 31, 2021, which shall be reviewed thereafter.</w:t>
      </w:r>
    </w:p>
    <w:p w14:paraId="1F98A1D4" w14:textId="3D84F39E" w:rsidR="00C72793" w:rsidRPr="00113001" w:rsidRDefault="00C72793" w:rsidP="004F2E3C">
      <w:pPr>
        <w:pBdr>
          <w:bottom w:val="single" w:sz="12" w:space="1" w:color="auto"/>
        </w:pBdr>
        <w:spacing w:after="0" w:line="240" w:lineRule="auto"/>
        <w:jc w:val="both"/>
        <w:rPr>
          <w:rFonts w:ascii="Cambria" w:hAnsi="Cambria"/>
          <w:sz w:val="24"/>
          <w:szCs w:val="24"/>
        </w:rPr>
      </w:pPr>
    </w:p>
    <w:p w14:paraId="0B206318" w14:textId="748652ED" w:rsidR="00C72793" w:rsidRPr="00113001" w:rsidRDefault="00C72793" w:rsidP="004F2E3C">
      <w:pPr>
        <w:spacing w:after="0" w:line="240" w:lineRule="auto"/>
        <w:jc w:val="both"/>
        <w:rPr>
          <w:rFonts w:ascii="Cambria" w:hAnsi="Cambria"/>
          <w:sz w:val="24"/>
          <w:szCs w:val="24"/>
        </w:rPr>
      </w:pPr>
    </w:p>
    <w:p w14:paraId="0CE1E4E8" w14:textId="3421AA0D"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w:t>
      </w:r>
    </w:p>
    <w:p w14:paraId="3456CF88" w14:textId="77777777" w:rsidR="00D52BE8" w:rsidRPr="00113001" w:rsidRDefault="00D52BE8" w:rsidP="004F2E3C">
      <w:pPr>
        <w:spacing w:after="0" w:line="240" w:lineRule="auto"/>
        <w:jc w:val="both"/>
        <w:rPr>
          <w:rFonts w:ascii="Cambria" w:hAnsi="Cambria"/>
          <w:sz w:val="24"/>
          <w:szCs w:val="24"/>
        </w:rPr>
      </w:pPr>
    </w:p>
    <w:p w14:paraId="15469E18" w14:textId="1FB9C21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RBI/2020-2021/54 </w:t>
      </w:r>
      <w:proofErr w:type="spellStart"/>
      <w:r w:rsidRPr="00113001">
        <w:rPr>
          <w:rFonts w:ascii="Cambria" w:hAnsi="Cambria"/>
          <w:sz w:val="24"/>
          <w:szCs w:val="24"/>
        </w:rPr>
        <w:t>DoR.No.BP.BC.22</w:t>
      </w:r>
      <w:proofErr w:type="spellEnd"/>
      <w:r w:rsidRPr="00113001">
        <w:rPr>
          <w:rFonts w:ascii="Cambria" w:hAnsi="Cambria"/>
          <w:sz w:val="24"/>
          <w:szCs w:val="24"/>
        </w:rPr>
        <w:t>/21.04.141/2020-21</w:t>
      </w:r>
    </w:p>
    <w:p w14:paraId="512BB08C"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October 12, 2020</w:t>
      </w:r>
    </w:p>
    <w:p w14:paraId="1420BCAF" w14:textId="77777777" w:rsidR="00C72793" w:rsidRPr="00113001" w:rsidRDefault="00C72793" w:rsidP="004F2E3C">
      <w:pPr>
        <w:spacing w:after="0" w:line="240" w:lineRule="auto"/>
        <w:jc w:val="both"/>
        <w:rPr>
          <w:rFonts w:ascii="Cambria" w:hAnsi="Cambria"/>
          <w:sz w:val="24"/>
          <w:szCs w:val="24"/>
        </w:rPr>
      </w:pPr>
    </w:p>
    <w:p w14:paraId="46F3468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DE5E21D" w14:textId="77777777" w:rsidR="00C72793" w:rsidRPr="00113001" w:rsidRDefault="00C72793" w:rsidP="004F2E3C">
      <w:pPr>
        <w:spacing w:after="0" w:line="240" w:lineRule="auto"/>
        <w:jc w:val="both"/>
        <w:rPr>
          <w:rFonts w:ascii="Cambria" w:hAnsi="Cambria"/>
          <w:sz w:val="24"/>
          <w:szCs w:val="24"/>
        </w:rPr>
      </w:pPr>
    </w:p>
    <w:p w14:paraId="33D9006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 2 of Statement on Developmental and Regulatory Policies of the Monetary Policy Statement, 2020-21 dated October 9, 2020 and our circular </w:t>
      </w:r>
      <w:proofErr w:type="spellStart"/>
      <w:r w:rsidRPr="00113001">
        <w:rPr>
          <w:rFonts w:ascii="Cambria" w:hAnsi="Cambria"/>
          <w:sz w:val="24"/>
          <w:szCs w:val="24"/>
        </w:rPr>
        <w:t>DoR.No.BP.BC.9</w:t>
      </w:r>
      <w:proofErr w:type="spellEnd"/>
      <w:r w:rsidRPr="00113001">
        <w:rPr>
          <w:rFonts w:ascii="Cambria" w:hAnsi="Cambria"/>
          <w:sz w:val="24"/>
          <w:szCs w:val="24"/>
        </w:rPr>
        <w:t>/21.04.141/2020-21 dated September 1, 2020 on the above subject.</w:t>
      </w:r>
    </w:p>
    <w:p w14:paraId="26F19C34" w14:textId="77777777" w:rsidR="00C72793" w:rsidRPr="00113001" w:rsidRDefault="00C72793" w:rsidP="004F2E3C">
      <w:pPr>
        <w:spacing w:after="0" w:line="240" w:lineRule="auto"/>
        <w:jc w:val="both"/>
        <w:rPr>
          <w:rFonts w:ascii="Cambria" w:hAnsi="Cambria"/>
          <w:sz w:val="24"/>
          <w:szCs w:val="24"/>
        </w:rPr>
      </w:pPr>
    </w:p>
    <w:p w14:paraId="1E024B7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Net Demand and Time Liabilities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Banks are, vide our circular dated September 1, 2020 referred to above, allowed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up to March 31, 2021. It has now been decided to extend the dispensation of the enhanced HTM limit of 22 percent, for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between September 1, 2020 and March 31, 2021, up to March 31, 2022, </w:t>
      </w:r>
      <w:proofErr w:type="gramStart"/>
      <w:r w:rsidRPr="00113001">
        <w:rPr>
          <w:rFonts w:ascii="Cambria" w:hAnsi="Cambria"/>
          <w:sz w:val="24"/>
          <w:szCs w:val="24"/>
        </w:rPr>
        <w:t>i.e.</w:t>
      </w:r>
      <w:proofErr w:type="gramEnd"/>
      <w:r w:rsidRPr="00113001">
        <w:rPr>
          <w:rFonts w:ascii="Cambria" w:hAnsi="Cambria"/>
          <w:sz w:val="24"/>
          <w:szCs w:val="24"/>
        </w:rPr>
        <w:t xml:space="preserve"> banks may continue to hold such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in HTM category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w:t>
      </w:r>
    </w:p>
    <w:p w14:paraId="5916B0A8" w14:textId="77777777" w:rsidR="00C72793" w:rsidRPr="00113001" w:rsidRDefault="00C72793" w:rsidP="004F2E3C">
      <w:pPr>
        <w:spacing w:after="0" w:line="240" w:lineRule="auto"/>
        <w:jc w:val="both"/>
        <w:rPr>
          <w:rFonts w:ascii="Cambria" w:hAnsi="Cambria"/>
          <w:sz w:val="24"/>
          <w:szCs w:val="24"/>
        </w:rPr>
      </w:pPr>
    </w:p>
    <w:p w14:paraId="56840A5A"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3. It has also been decided that the enhanced HTM limit shall be restored to 19.5 per cent in a phased manner, beginning from the quarter ending June 30, 2022, </w:t>
      </w:r>
      <w:proofErr w:type="gramStart"/>
      <w:r w:rsidRPr="00113001">
        <w:rPr>
          <w:rFonts w:ascii="Cambria" w:hAnsi="Cambria"/>
          <w:sz w:val="24"/>
          <w:szCs w:val="24"/>
        </w:rPr>
        <w:t>i.e.</w:t>
      </w:r>
      <w:proofErr w:type="gramEnd"/>
      <w:r w:rsidRPr="00113001">
        <w:rPr>
          <w:rFonts w:ascii="Cambria" w:hAnsi="Cambria"/>
          <w:sz w:val="24"/>
          <w:szCs w:val="24"/>
        </w:rPr>
        <w:t xml:space="preserve"> the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by banks during the period September 1, 2020 to March 31, 2021 shall be progressively reduced such that the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in the HTM category as a percentage of the </w:t>
      </w:r>
      <w:proofErr w:type="spellStart"/>
      <w:r w:rsidRPr="00113001">
        <w:rPr>
          <w:rFonts w:ascii="Cambria" w:hAnsi="Cambria"/>
          <w:sz w:val="24"/>
          <w:szCs w:val="24"/>
        </w:rPr>
        <w:t>NDTL</w:t>
      </w:r>
      <w:proofErr w:type="spellEnd"/>
      <w:r w:rsidRPr="00113001">
        <w:rPr>
          <w:rFonts w:ascii="Cambria" w:hAnsi="Cambria"/>
          <w:sz w:val="24"/>
          <w:szCs w:val="24"/>
        </w:rPr>
        <w:t xml:space="preserve"> does not exceed:</w:t>
      </w:r>
    </w:p>
    <w:p w14:paraId="228DF910" w14:textId="77777777" w:rsidR="00C72793" w:rsidRPr="00113001" w:rsidRDefault="00C72793" w:rsidP="004F2E3C">
      <w:pPr>
        <w:spacing w:after="0" w:line="240" w:lineRule="auto"/>
        <w:jc w:val="both"/>
        <w:rPr>
          <w:rFonts w:ascii="Cambria" w:hAnsi="Cambria"/>
          <w:sz w:val="24"/>
          <w:szCs w:val="24"/>
        </w:rPr>
      </w:pPr>
    </w:p>
    <w:p w14:paraId="3B989089"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21.00 per cent as on June 30, 2022</w:t>
      </w:r>
    </w:p>
    <w:p w14:paraId="491F4FB2"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20.00 per cent as on September 30, 2022</w:t>
      </w:r>
    </w:p>
    <w:p w14:paraId="4E397C2E"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19.50 per cent as on December 31, 2022</w:t>
      </w:r>
    </w:p>
    <w:p w14:paraId="0E5DDEB6" w14:textId="77777777" w:rsidR="00C72793" w:rsidRPr="00113001" w:rsidRDefault="00C72793" w:rsidP="004F2E3C">
      <w:pPr>
        <w:spacing w:after="0" w:line="240" w:lineRule="auto"/>
        <w:jc w:val="both"/>
        <w:rPr>
          <w:rFonts w:ascii="Cambria" w:hAnsi="Cambria"/>
          <w:sz w:val="24"/>
          <w:szCs w:val="24"/>
        </w:rPr>
      </w:pPr>
    </w:p>
    <w:p w14:paraId="60284BAD" w14:textId="52B6EA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4. As per extant instructions, banks may shift investments to/from HTM with the approval of the Board of Directors once a year and such shifting will normally be allowed at the beginning of the accounting year. However, in order to enable banks to shift their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from the HTM category to AFS/</w:t>
      </w:r>
      <w:proofErr w:type="spellStart"/>
      <w:r w:rsidRPr="00113001">
        <w:rPr>
          <w:rFonts w:ascii="Cambria" w:hAnsi="Cambria"/>
          <w:sz w:val="24"/>
          <w:szCs w:val="24"/>
        </w:rPr>
        <w:t>HFT</w:t>
      </w:r>
      <w:proofErr w:type="spellEnd"/>
      <w:r w:rsidRPr="00113001">
        <w:rPr>
          <w:rFonts w:ascii="Cambria" w:hAnsi="Cambria"/>
          <w:sz w:val="24"/>
          <w:szCs w:val="24"/>
        </w:rPr>
        <w:t xml:space="preserve"> to comply with the instructions as indicated in paragraph 3 above, it has been decided to allow such shifting of the excess securities during the quarter in which the HTM ceiling is brought down. This would be in addition to the shifting permitted at the beginning of the accounting year.</w:t>
      </w:r>
    </w:p>
    <w:p w14:paraId="4E415705" w14:textId="3BB442E4"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162C2FEA" w:rsidR="00C72793" w:rsidRDefault="00C72793" w:rsidP="004F2E3C">
      <w:pPr>
        <w:spacing w:after="0" w:line="240" w:lineRule="auto"/>
        <w:jc w:val="both"/>
        <w:rPr>
          <w:rFonts w:ascii="Cambria" w:hAnsi="Cambria"/>
          <w:sz w:val="24"/>
          <w:szCs w:val="24"/>
        </w:rPr>
      </w:pPr>
    </w:p>
    <w:p w14:paraId="74849B64" w14:textId="77777777" w:rsidR="00324460" w:rsidRPr="00113001" w:rsidRDefault="00324460" w:rsidP="00324460">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1E4A4623" w14:textId="77777777" w:rsidR="00324460" w:rsidRPr="00113001" w:rsidRDefault="00324460" w:rsidP="00324460">
      <w:pPr>
        <w:spacing w:after="0" w:line="240" w:lineRule="auto"/>
        <w:jc w:val="both"/>
        <w:rPr>
          <w:rFonts w:ascii="Cambria" w:hAnsi="Cambria"/>
          <w:sz w:val="24"/>
          <w:szCs w:val="24"/>
        </w:rPr>
      </w:pPr>
    </w:p>
    <w:p w14:paraId="22717B77" w14:textId="77777777" w:rsidR="00324460" w:rsidRPr="00113001" w:rsidRDefault="00324460" w:rsidP="00324460">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769A5A65" w14:textId="77777777" w:rsidR="00324460" w:rsidRDefault="00324460" w:rsidP="00324460">
      <w:pPr>
        <w:spacing w:after="0" w:line="240" w:lineRule="auto"/>
        <w:jc w:val="both"/>
        <w:rPr>
          <w:rFonts w:ascii="Cambria" w:hAnsi="Cambria"/>
          <w:sz w:val="24"/>
          <w:szCs w:val="24"/>
        </w:rPr>
      </w:pPr>
      <w:hyperlink r:id="rId10" w:history="1">
        <w:r w:rsidRPr="00113001">
          <w:rPr>
            <w:rStyle w:val="Hyperlink"/>
            <w:rFonts w:ascii="Cambria" w:hAnsi="Cambria"/>
            <w:sz w:val="24"/>
            <w:szCs w:val="24"/>
          </w:rPr>
          <w:t>https://www.rbi.org.in/scripts/FAQView.aspx?Id=137</w:t>
        </w:r>
      </w:hyperlink>
      <w:r w:rsidRPr="00113001">
        <w:rPr>
          <w:rFonts w:ascii="Cambria" w:hAnsi="Cambria"/>
          <w:sz w:val="24"/>
          <w:szCs w:val="24"/>
        </w:rPr>
        <w:t xml:space="preserve"> </w:t>
      </w:r>
    </w:p>
    <w:p w14:paraId="3836E426" w14:textId="77777777" w:rsidR="00324460" w:rsidRPr="00113001" w:rsidRDefault="00324460" w:rsidP="004F2E3C">
      <w:pPr>
        <w:spacing w:after="0" w:line="240" w:lineRule="auto"/>
        <w:jc w:val="both"/>
        <w:rPr>
          <w:rFonts w:ascii="Cambria" w:hAnsi="Cambria"/>
          <w:sz w:val="24"/>
          <w:szCs w:val="24"/>
        </w:rPr>
      </w:pPr>
    </w:p>
    <w:sectPr w:rsidR="00324460" w:rsidRPr="001130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57207" w14:textId="77777777" w:rsidR="00480BFC" w:rsidRDefault="00480BFC" w:rsidP="00D52BE8">
      <w:pPr>
        <w:spacing w:after="0" w:line="240" w:lineRule="auto"/>
      </w:pPr>
      <w:r>
        <w:separator/>
      </w:r>
    </w:p>
  </w:endnote>
  <w:endnote w:type="continuationSeparator" w:id="0">
    <w:p w14:paraId="363B15FD" w14:textId="77777777" w:rsidR="00480BFC" w:rsidRDefault="00480BFC"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F6F0" w14:textId="77777777" w:rsidR="00480BFC" w:rsidRDefault="00480BFC" w:rsidP="00D52BE8">
      <w:pPr>
        <w:spacing w:after="0" w:line="240" w:lineRule="auto"/>
      </w:pPr>
      <w:r>
        <w:separator/>
      </w:r>
    </w:p>
  </w:footnote>
  <w:footnote w:type="continuationSeparator" w:id="0">
    <w:p w14:paraId="2CC6827A" w14:textId="77777777" w:rsidR="00480BFC" w:rsidRDefault="00480BFC"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324460"/>
    <w:rsid w:val="003A1120"/>
    <w:rsid w:val="00476BD5"/>
    <w:rsid w:val="00480BFC"/>
    <w:rsid w:val="004E503C"/>
    <w:rsid w:val="004F2E3C"/>
    <w:rsid w:val="005E301D"/>
    <w:rsid w:val="006449DE"/>
    <w:rsid w:val="00745628"/>
    <w:rsid w:val="007615AE"/>
    <w:rsid w:val="00825F35"/>
    <w:rsid w:val="00870362"/>
    <w:rsid w:val="008A7CB1"/>
    <w:rsid w:val="00902F9B"/>
    <w:rsid w:val="009541FD"/>
    <w:rsid w:val="00984497"/>
    <w:rsid w:val="0099002B"/>
    <w:rsid w:val="009C1AF0"/>
    <w:rsid w:val="00A57CC1"/>
    <w:rsid w:val="00AB2578"/>
    <w:rsid w:val="00AC0EFA"/>
    <w:rsid w:val="00AD2750"/>
    <w:rsid w:val="00B24EBE"/>
    <w:rsid w:val="00BD2AF0"/>
    <w:rsid w:val="00C72793"/>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3&amp;Mod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bi.org.in/scripts/FAQView.aspx?Id=137" TargetMode="External"/><Relationship Id="rId4" Type="http://schemas.openxmlformats.org/officeDocument/2006/relationships/settings" Target="settings.xml"/><Relationship Id="rId9" Type="http://schemas.openxmlformats.org/officeDocument/2006/relationships/hyperlink" Target="https://www.rbi.org.in/Scripts/NotificationUser.aspx?Id=1194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16</cp:revision>
  <dcterms:created xsi:type="dcterms:W3CDTF">2021-01-11T06:55:00Z</dcterms:created>
  <dcterms:modified xsi:type="dcterms:W3CDTF">2021-01-15T12:06:00Z</dcterms:modified>
</cp:coreProperties>
</file>